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D88C0" w14:textId="77777777" w:rsidR="005151A9" w:rsidRDefault="00224100" w:rsidP="00224100">
      <w:pPr>
        <w:jc w:val="center"/>
      </w:pPr>
      <w:bookmarkStart w:id="0" w:name="_GoBack"/>
      <w:bookmarkEnd w:id="0"/>
      <w:r>
        <w:t>Comment by Professor Frank J. Garcia</w:t>
      </w:r>
    </w:p>
    <w:p w14:paraId="4093EA98" w14:textId="77777777" w:rsidR="00224100" w:rsidRDefault="00224100" w:rsidP="00224100">
      <w:pPr>
        <w:jc w:val="center"/>
      </w:pPr>
      <w:r>
        <w:t>Boston College Law School</w:t>
      </w:r>
    </w:p>
    <w:p w14:paraId="059B8F95" w14:textId="77777777" w:rsidR="00224100" w:rsidRDefault="00224100" w:rsidP="00224100">
      <w:pPr>
        <w:jc w:val="center"/>
      </w:pPr>
    </w:p>
    <w:p w14:paraId="3BDFE9BF" w14:textId="77777777" w:rsidR="00224100" w:rsidRDefault="00224100" w:rsidP="00224100">
      <w:pPr>
        <w:jc w:val="center"/>
      </w:pPr>
      <w:r>
        <w:t>ICCA/Queen Mary Task Force on Third Party Funding</w:t>
      </w:r>
    </w:p>
    <w:p w14:paraId="18171B15" w14:textId="77777777" w:rsidR="00224100" w:rsidRDefault="00224100" w:rsidP="00224100">
      <w:pPr>
        <w:jc w:val="center"/>
      </w:pPr>
      <w:r>
        <w:t>in International Arbitration</w:t>
      </w:r>
    </w:p>
    <w:p w14:paraId="4976AE2C" w14:textId="77777777" w:rsidR="00224100" w:rsidRDefault="00224100" w:rsidP="00224100">
      <w:pPr>
        <w:jc w:val="center"/>
      </w:pPr>
    </w:p>
    <w:p w14:paraId="6904BB01" w14:textId="66C33983" w:rsidR="00224100" w:rsidRDefault="00224100" w:rsidP="00224100">
      <w:r>
        <w:tab/>
        <w:t>Thank you for the opportunity to comment on the Draft Report of the Task Force.  The Draft Report clearly repre</w:t>
      </w:r>
      <w:r w:rsidR="00DB2ECD">
        <w:t>sents a great deal of</w:t>
      </w:r>
      <w:r>
        <w:t xml:space="preserve"> work on the part of the Task Force members, and is certain to be an important contribution to the </w:t>
      </w:r>
      <w:r w:rsidR="00346CF8">
        <w:t xml:space="preserve">much-needed </w:t>
      </w:r>
      <w:r>
        <w:t>publ</w:t>
      </w:r>
      <w:r w:rsidR="00A54957">
        <w:t>ic debate and regulatory efforts</w:t>
      </w:r>
      <w:r>
        <w:t xml:space="preserve"> surrounding third party funding (TPF).</w:t>
      </w:r>
    </w:p>
    <w:p w14:paraId="7586FA37" w14:textId="77777777" w:rsidR="00224100" w:rsidRDefault="00224100" w:rsidP="00224100"/>
    <w:p w14:paraId="5639FC8D" w14:textId="431AF8C6" w:rsidR="00224100" w:rsidRDefault="00224100" w:rsidP="00224100">
      <w:r>
        <w:tab/>
      </w:r>
      <w:r w:rsidR="00940826">
        <w:t xml:space="preserve">I have been a professor of International Economic Law (IEL) for over twenty years, with a particular interest in structural and institutional questions in trade law, and in the fairness of the global economic system as a whole.  My remarks today </w:t>
      </w:r>
      <w:r w:rsidR="00E9723E">
        <w:t>grow out of</w:t>
      </w:r>
      <w:r w:rsidR="00940826">
        <w:t xml:space="preserve"> these long-standing concerns, and reflect my research on the structural bases of distributive justice and injustice in IEL.  </w:t>
      </w:r>
      <w:r w:rsidR="00BF7D62">
        <w:t>Because of the significanc</w:t>
      </w:r>
      <w:r w:rsidR="00935499">
        <w:t>e of foreign investment today and growing public concerns over</w:t>
      </w:r>
      <w:r w:rsidR="00940826">
        <w:t xml:space="preserve"> </w:t>
      </w:r>
      <w:r w:rsidR="00935499">
        <w:t>investment treaties,</w:t>
      </w:r>
      <w:r w:rsidR="00940826">
        <w:t xml:space="preserve"> </w:t>
      </w:r>
      <w:r w:rsidR="00935499">
        <w:t xml:space="preserve">I have expanded my research to include investment law. Most recently, I </w:t>
      </w:r>
      <w:r w:rsidR="00940826">
        <w:t>have written on the parallels between the current legitimacy crisis in investment law, and the earlier legitimacy crisis in trade law</w:t>
      </w:r>
      <w:r w:rsidR="00E9723E">
        <w:t xml:space="preserve"> (see Garcia et al., </w:t>
      </w:r>
      <w:r w:rsidR="00E9723E" w:rsidRPr="00940826">
        <w:rPr>
          <w:i/>
        </w:rPr>
        <w:t>Reforming the International Investment Regime:</w:t>
      </w:r>
      <w:r w:rsidR="00E9723E">
        <w:rPr>
          <w:i/>
        </w:rPr>
        <w:t xml:space="preserve"> Lessons from International Trade Law</w:t>
      </w:r>
      <w:r w:rsidR="00E9723E">
        <w:t xml:space="preserve">, 18 Oxford Journal of International Economic Law 861 (2015)).  The </w:t>
      </w:r>
      <w:r w:rsidR="00634F93">
        <w:t>late 20</w:t>
      </w:r>
      <w:r w:rsidR="00634F93" w:rsidRPr="00634F93">
        <w:rPr>
          <w:vertAlign w:val="superscript"/>
        </w:rPr>
        <w:t>th</w:t>
      </w:r>
      <w:r w:rsidR="00634F93">
        <w:t xml:space="preserve"> century </w:t>
      </w:r>
      <w:r w:rsidR="00E9723E">
        <w:t>legitimacy crisis in trade law</w:t>
      </w:r>
      <w:r w:rsidR="00940826">
        <w:t xml:space="preserve"> </w:t>
      </w:r>
      <w:r w:rsidR="00634F93">
        <w:t>signaled/</w:t>
      </w:r>
      <w:r w:rsidR="00940826">
        <w:t xml:space="preserve">accompanied </w:t>
      </w:r>
      <w:r w:rsidR="00634F93">
        <w:t>an important paradigm shift in</w:t>
      </w:r>
      <w:r w:rsidR="00E9723E">
        <w:t xml:space="preserve"> our understanding </w:t>
      </w:r>
      <w:r w:rsidR="00D14698">
        <w:t xml:space="preserve">of </w:t>
      </w:r>
      <w:r w:rsidR="00E9723E">
        <w:t>the trade regime</w:t>
      </w:r>
      <w:r w:rsidR="00634F93">
        <w:t>, from</w:t>
      </w:r>
      <w:r w:rsidR="00940826">
        <w:t xml:space="preserve"> </w:t>
      </w:r>
      <w:r w:rsidR="00D14698">
        <w:t xml:space="preserve">being </w:t>
      </w:r>
      <w:r w:rsidR="00940826">
        <w:t xml:space="preserve">simply the international </w:t>
      </w:r>
      <w:r w:rsidR="00373C36">
        <w:t>law of inter-state c</w:t>
      </w:r>
      <w:r w:rsidR="00D14698">
        <w:t>ommerce, towards our recognition of</w:t>
      </w:r>
      <w:r w:rsidR="00373C36">
        <w:t xml:space="preserve"> it </w:t>
      </w:r>
      <w:r w:rsidR="00940826">
        <w:t xml:space="preserve">as </w:t>
      </w:r>
      <w:r w:rsidR="00373C36">
        <w:t xml:space="preserve">a key part of global economic governance, responsible for ensuring a fair global economic system for all affected stakeholders. </w:t>
      </w:r>
      <w:r w:rsidR="00E9723E">
        <w:t>I understand the investment crisis today in the same vein</w:t>
      </w:r>
      <w:r w:rsidR="00373C36">
        <w:t xml:space="preserve">, and this perspective on investment law as fundamentally </w:t>
      </w:r>
      <w:r w:rsidR="00D14698">
        <w:t>entwined with ideas of</w:t>
      </w:r>
      <w:r w:rsidR="00373C36">
        <w:t xml:space="preserve"> justice and governance informs my remarks today</w:t>
      </w:r>
      <w:r w:rsidR="00940826">
        <w:t>.</w:t>
      </w:r>
    </w:p>
    <w:p w14:paraId="737C01AB" w14:textId="77777777" w:rsidR="00373C36" w:rsidRDefault="00373C36" w:rsidP="00224100"/>
    <w:p w14:paraId="7758F65A" w14:textId="2F3D4C3B" w:rsidR="00373C36" w:rsidRDefault="00373C36" w:rsidP="00224100">
      <w:r>
        <w:tab/>
      </w:r>
      <w:r w:rsidR="00383998">
        <w:t xml:space="preserve">In my view, TPF represents a profound challenge to the fairness and legitimacy of the international investment regime, which if not addressed effectively will further compromise not only the public’s </w:t>
      </w:r>
      <w:r w:rsidR="00D14698">
        <w:t>faith in this system (already undermined</w:t>
      </w:r>
      <w:r w:rsidR="00383998">
        <w:t>), but the viability of the system for states and other stakeholders.  The Draft R</w:t>
      </w:r>
      <w:r w:rsidR="00533FF9">
        <w:t xml:space="preserve">eport, while offering useful </w:t>
      </w:r>
      <w:r w:rsidR="00383998">
        <w:t xml:space="preserve">recommendations for addressing </w:t>
      </w:r>
      <w:r w:rsidR="00BF7D62">
        <w:t>important</w:t>
      </w:r>
      <w:r w:rsidR="00383998">
        <w:t xml:space="preserve"> eth</w:t>
      </w:r>
      <w:r w:rsidR="00594C98">
        <w:t>ical and professional issues raised by TPF</w:t>
      </w:r>
      <w:r w:rsidR="00383998">
        <w:t>, almost entirely sidesteps this fundamental, even e</w:t>
      </w:r>
      <w:r w:rsidR="00634F93">
        <w:t xml:space="preserve">xistential issue. </w:t>
      </w:r>
      <w:r w:rsidR="00BF7D62">
        <w:t xml:space="preserve">This might suggest to some readers that the </w:t>
      </w:r>
      <w:r w:rsidR="00BF7D62" w:rsidRPr="00BF7D62">
        <w:rPr>
          <w:i/>
        </w:rPr>
        <w:t>presence</w:t>
      </w:r>
      <w:r w:rsidR="00BF7D62">
        <w:t xml:space="preserve"> of TPF in ISDS is beyond regulation or review, that there </w:t>
      </w:r>
      <w:r w:rsidR="00176CFE">
        <w:t>will be no further public consideration</w:t>
      </w:r>
      <w:r w:rsidR="00BF7D62">
        <w:t xml:space="preserve"> or regulatory response except to moderate some of its effects.</w:t>
      </w:r>
      <w:r w:rsidR="00634F93">
        <w:t xml:space="preserve"> </w:t>
      </w:r>
      <w:r w:rsidR="00D14698">
        <w:t>One can see</w:t>
      </w:r>
      <w:r w:rsidR="00634F93">
        <w:t xml:space="preserve"> in</w:t>
      </w:r>
      <w:r w:rsidR="00383998">
        <w:t xml:space="preserve"> the careful wording of Chapter Eight that the </w:t>
      </w:r>
      <w:r w:rsidR="00D80989">
        <w:t>Task Force</w:t>
      </w:r>
      <w:r w:rsidR="00383998">
        <w:t xml:space="preserve"> had to contend with strong differenc</w:t>
      </w:r>
      <w:r w:rsidR="00D14698">
        <w:t xml:space="preserve">es of opinion on this question. </w:t>
      </w:r>
      <w:r w:rsidR="00594C98">
        <w:t xml:space="preserve">Nevertheless, I am concerned that by its omissions and elisions the </w:t>
      </w:r>
      <w:r w:rsidR="00BF7D62">
        <w:t xml:space="preserve">ISDS portions of the </w:t>
      </w:r>
      <w:r w:rsidR="00594C98">
        <w:t>Draft Report will be read more as a ratification of the status quo with respect to TPF</w:t>
      </w:r>
      <w:r w:rsidR="00634F93">
        <w:t>,</w:t>
      </w:r>
      <w:r w:rsidR="00594C98">
        <w:t xml:space="preserve"> than as the opening contribution to a searching and public-minded regulatory conversation on TPF </w:t>
      </w:r>
      <w:r w:rsidR="00634F93">
        <w:t xml:space="preserve">and investment arbitration </w:t>
      </w:r>
      <w:r w:rsidR="00594C98">
        <w:t xml:space="preserve">that </w:t>
      </w:r>
      <w:r w:rsidR="00BF7D62">
        <w:t xml:space="preserve">the Draft Report suggests </w:t>
      </w:r>
      <w:r w:rsidR="00594C98">
        <w:t>it seeks to be.</w:t>
      </w:r>
    </w:p>
    <w:p w14:paraId="1C4A1AF8" w14:textId="77777777" w:rsidR="00D80989" w:rsidRDefault="00D80989" w:rsidP="00224100"/>
    <w:p w14:paraId="6691286E" w14:textId="59EA1DB0" w:rsidR="00B22939" w:rsidRDefault="00D80989" w:rsidP="00224100">
      <w:r>
        <w:lastRenderedPageBreak/>
        <w:tab/>
        <w:t>The fundamental premise of my view on TPF is that the current BIT-based international investment regime is fundamentally unbalanced in terms of norms and dispute resolution</w:t>
      </w:r>
      <w:r w:rsidR="00533FF9">
        <w:t xml:space="preserve">, offering investors a wide range of protections while offering states no </w:t>
      </w:r>
      <w:r w:rsidR="0000357E">
        <w:t xml:space="preserve">meaningful </w:t>
      </w:r>
      <w:r w:rsidR="00533FF9">
        <w:t>basis for claims or counterclaims</w:t>
      </w:r>
      <w:r>
        <w:t xml:space="preserve">.  Indeed, Prof. Alessandra Arcuri </w:t>
      </w:r>
      <w:r w:rsidR="0000357E">
        <w:t>of Erasmus</w:t>
      </w:r>
      <w:r w:rsidR="004E409A">
        <w:t xml:space="preserve"> University</w:t>
      </w:r>
      <w:r w:rsidR="00176CFE">
        <w:t xml:space="preserve"> (</w:t>
      </w:r>
      <w:r w:rsidR="0000357E">
        <w:t>in a paper presented at the Graduate Institute of Geneva’s 201</w:t>
      </w:r>
      <w:r w:rsidR="00176CFE">
        <w:t xml:space="preserve">7 Annual Conference on WTO Law) </w:t>
      </w:r>
      <w:r>
        <w:t xml:space="preserve">recently referred to </w:t>
      </w:r>
      <w:r w:rsidR="0000357E">
        <w:t>this unbalance</w:t>
      </w:r>
      <w:r>
        <w:t xml:space="preserve"> as “The Great Asymmetry” in international investment</w:t>
      </w:r>
      <w:r w:rsidR="00594C98">
        <w:t xml:space="preserve"> law.  While there may</w:t>
      </w:r>
      <w:r>
        <w:t xml:space="preserve"> be valid historical reasons for this asymmetry (see</w:t>
      </w:r>
      <w:r w:rsidR="004E409A">
        <w:t>, e.g.,</w:t>
      </w:r>
      <w:r>
        <w:t xml:space="preserve"> Garcia, </w:t>
      </w:r>
      <w:r w:rsidRPr="00634F93">
        <w:rPr>
          <w:i/>
        </w:rPr>
        <w:t>supra</w:t>
      </w:r>
      <w:r>
        <w:t xml:space="preserve">), and </w:t>
      </w:r>
      <w:r w:rsidR="00634F93">
        <w:t>the threat</w:t>
      </w:r>
      <w:r>
        <w:t xml:space="preserve"> to the viability and security of foreign investment continue</w:t>
      </w:r>
      <w:r w:rsidR="00634F93">
        <w:t>s</w:t>
      </w:r>
      <w:r>
        <w:t xml:space="preserve"> to be real, this asymmetry represents </w:t>
      </w:r>
      <w:r w:rsidR="004E409A">
        <w:t xml:space="preserve">today </w:t>
      </w:r>
      <w:r>
        <w:t>a fundamental flaw in the investment regime from the perspective of both go</w:t>
      </w:r>
      <w:r w:rsidR="00634F93">
        <w:t xml:space="preserve">vernance and fairness, the two </w:t>
      </w:r>
      <w:r>
        <w:t xml:space="preserve">parameters </w:t>
      </w:r>
      <w:r w:rsidR="00634F93">
        <w:t>critical</w:t>
      </w:r>
      <w:r>
        <w:t xml:space="preserve"> to both resolving the current legitimacy crisis and shaping a more effective investment law regime for the 21</w:t>
      </w:r>
      <w:r w:rsidRPr="00D80989">
        <w:rPr>
          <w:vertAlign w:val="superscript"/>
        </w:rPr>
        <w:t>st</w:t>
      </w:r>
      <w:r>
        <w:t xml:space="preserve"> century.  </w:t>
      </w:r>
    </w:p>
    <w:p w14:paraId="5A2E306D" w14:textId="77777777" w:rsidR="00B22939" w:rsidRDefault="00B22939" w:rsidP="00224100"/>
    <w:p w14:paraId="473F92FF" w14:textId="61EDF697" w:rsidR="00594C98" w:rsidRDefault="00B22939" w:rsidP="00224100">
      <w:r>
        <w:tab/>
        <w:t xml:space="preserve">TPF is a threat to both governance and fairness because by design it exploits this asymmetry in ways that further undercut the regime’s capacity </w:t>
      </w:r>
      <w:r w:rsidR="00594C98">
        <w:t>to satisfy even basic norms of</w:t>
      </w:r>
      <w:r>
        <w:t xml:space="preserve"> governance and fairness.  </w:t>
      </w:r>
      <w:r w:rsidR="00D80989">
        <w:t xml:space="preserve">Whatever the </w:t>
      </w:r>
      <w:r w:rsidR="00594C98">
        <w:t xml:space="preserve">risks and </w:t>
      </w:r>
      <w:r w:rsidR="00D80989">
        <w:t xml:space="preserve">merits of </w:t>
      </w:r>
      <w:r w:rsidR="00594C98">
        <w:t>TPF in commercial arbitration</w:t>
      </w:r>
      <w:r w:rsidR="00D80989">
        <w:t xml:space="preserve"> (which I don’t speak to</w:t>
      </w:r>
      <w:r w:rsidR="00594C98">
        <w:t xml:space="preserve"> here</w:t>
      </w:r>
      <w:r w:rsidR="00D80989">
        <w:t xml:space="preserve">), </w:t>
      </w:r>
      <w:r w:rsidR="00594C98">
        <w:t xml:space="preserve">TPF </w:t>
      </w:r>
      <w:r w:rsidR="00D80989">
        <w:t>within a system as unbalanc</w:t>
      </w:r>
      <w:r w:rsidR="00594C98">
        <w:t xml:space="preserve">ed as the investment law regime is, to put it bluntly, a disaster.  I say this, because given the structure of the investment regime today, </w:t>
      </w:r>
      <w:r w:rsidR="00D80989">
        <w:t xml:space="preserve">TPF </w:t>
      </w:r>
      <w:r w:rsidR="00594C98">
        <w:t xml:space="preserve">cannot but have </w:t>
      </w:r>
      <w:r w:rsidR="00D80989">
        <w:t xml:space="preserve">the effect of further concentrating economic power in the hands of investors, the privileged class of claimants (indeed the only class of claimants) in the current regime, by opening the system to </w:t>
      </w:r>
      <w:r>
        <w:t>the resources (and priorities) of speculative investment.  This is exactly the risk that traditional common law doctrines of maintenance and champerty were d</w:t>
      </w:r>
      <w:r w:rsidR="007D28D2">
        <w:t>esigned to mitigate</w:t>
      </w:r>
      <w:r w:rsidR="00634F93">
        <w:t>, and reflects (even intensifies) the reasons investment treaties are under such challenge today</w:t>
      </w:r>
      <w:r w:rsidR="007D28D2">
        <w:t xml:space="preserve">. </w:t>
      </w:r>
    </w:p>
    <w:p w14:paraId="5EB40C82" w14:textId="77777777" w:rsidR="00594C98" w:rsidRDefault="00594C98" w:rsidP="00224100"/>
    <w:p w14:paraId="04C97947" w14:textId="03B10277" w:rsidR="00FB6A16" w:rsidRDefault="00594C98" w:rsidP="00224100">
      <w:r>
        <w:tab/>
      </w:r>
      <w:r w:rsidR="007D28D2">
        <w:t xml:space="preserve">TPF is a threat to governance, because it further amplifies “voice” on the part of a stakeholder whose voice is already the loudest, if not the only, voice officially recognized within the system (other than State Respondents, whose voice is carefully limited by the asymmetric nature of the substantive rules).  It is a threat to fairness, because it intensifies the resources available to </w:t>
      </w:r>
      <w:r w:rsidR="00FB6A16">
        <w:t xml:space="preserve">a privileged claimant, </w:t>
      </w:r>
      <w:r w:rsidR="007D28D2">
        <w:t xml:space="preserve">against a responding party with limited substantive </w:t>
      </w:r>
      <w:r w:rsidR="00FB6A16">
        <w:t>rights and no appellate rights,</w:t>
      </w:r>
      <w:r w:rsidR="00A51C67">
        <w:t xml:space="preserve"> a party </w:t>
      </w:r>
      <w:r w:rsidR="00FB6A16">
        <w:t>that is burdened by</w:t>
      </w:r>
      <w:r w:rsidR="007D28D2">
        <w:t xml:space="preserve"> competing sovereign budgetary respon</w:t>
      </w:r>
      <w:r w:rsidR="001958F3">
        <w:t>sibilities to many stakeholders</w:t>
      </w:r>
      <w:r w:rsidR="00FB6A16">
        <w:t>, and holds</w:t>
      </w:r>
      <w:r w:rsidR="007D28D2">
        <w:t xml:space="preserve"> a monopoly on the taxing power.  In other words, </w:t>
      </w:r>
      <w:r w:rsidR="00FB6A16">
        <w:t>TPF in ISDS gives</w:t>
      </w:r>
      <w:r w:rsidR="004E409A">
        <w:t xml:space="preserve"> a small class of investors</w:t>
      </w:r>
      <w:r w:rsidR="001958F3">
        <w:t xml:space="preserve"> even more resources to prosecute</w:t>
      </w:r>
      <w:r w:rsidR="007D28D2">
        <w:t xml:space="preserve"> unbalanced</w:t>
      </w:r>
      <w:r w:rsidR="001958F3">
        <w:t xml:space="preserve"> claims against a constrained State, claims that </w:t>
      </w:r>
      <w:r w:rsidR="00FB6A16">
        <w:t xml:space="preserve">in a majority of cases </w:t>
      </w:r>
      <w:r w:rsidR="001958F3">
        <w:t xml:space="preserve">will ultimately </w:t>
      </w:r>
      <w:r w:rsidR="004E409A">
        <w:t>be paid by a large underrepresented class of stakeholders</w:t>
      </w:r>
      <w:r w:rsidR="001958F3">
        <w:t xml:space="preserve"> </w:t>
      </w:r>
      <w:r w:rsidR="00176CFE">
        <w:t xml:space="preserve">(the public, who as tax payers are the “residual risk-bearers” in the current system).  They will pay </w:t>
      </w:r>
      <w:r w:rsidR="001958F3">
        <w:t>in the form of additional</w:t>
      </w:r>
      <w:r w:rsidR="00176CFE">
        <w:t xml:space="preserve"> fiscal or welfare burdens, since both losses and settlements are</w:t>
      </w:r>
      <w:r w:rsidR="003F616C">
        <w:t xml:space="preserve"> equall</w:t>
      </w:r>
      <w:r w:rsidR="00176CFE">
        <w:t>y burdensome on the public fisc</w:t>
      </w:r>
      <w:r w:rsidR="007D28D2">
        <w:t>.</w:t>
      </w:r>
      <w:r w:rsidR="004E409A">
        <w:t xml:space="preserve">  </w:t>
      </w:r>
    </w:p>
    <w:p w14:paraId="2F06DB80" w14:textId="77777777" w:rsidR="00FB6A16" w:rsidRDefault="00FB6A16" w:rsidP="00224100"/>
    <w:p w14:paraId="340F89FB" w14:textId="2350020A" w:rsidR="00D80989" w:rsidRDefault="00FB6A16" w:rsidP="00224100">
      <w:r>
        <w:tab/>
      </w:r>
      <w:r w:rsidR="004E409A">
        <w:t xml:space="preserve">Such imbalances are what international economic law </w:t>
      </w:r>
      <w:r>
        <w:t>should seek</w:t>
      </w:r>
      <w:r w:rsidR="004E409A">
        <w:t xml:space="preserve"> to redress, not facilitate.  </w:t>
      </w:r>
      <w:r w:rsidR="00346CF8">
        <w:t>B</w:t>
      </w:r>
      <w:r w:rsidR="004E409A">
        <w:t>usiness actors will continually seek to concentrate both control and profit while transferring risk, and the task of economic law is to identify such patterns in every transaction and ensure that an appropriate share of r</w:t>
      </w:r>
      <w:r w:rsidR="00346CF8">
        <w:t xml:space="preserve">isk always remains with those exercising control and </w:t>
      </w:r>
      <w:r w:rsidR="004E409A">
        <w:t>receiving the profits</w:t>
      </w:r>
      <w:r w:rsidR="00346CF8">
        <w:t xml:space="preserve"> (see, e.g., the work of Prof. Joseph Vining)</w:t>
      </w:r>
      <w:r w:rsidR="004E409A">
        <w:t>.</w:t>
      </w:r>
      <w:r>
        <w:t xml:space="preserve"> </w:t>
      </w:r>
      <w:r w:rsidR="00F33A83">
        <w:t>When the law fails to do this, society as a whole suffers, as we saw most recently in the Global Financial Crisis.  Here too there ar</w:t>
      </w:r>
      <w:r w:rsidR="00346CF8">
        <w:t>e instructive parallels: the c</w:t>
      </w:r>
      <w:r w:rsidR="00F33A83">
        <w:t>risis grew out of a decision to allow speculative investment into the mortgage lending industry, an industry designed (albeit imperfectly) to balance the social goals of home ownership against the risk</w:t>
      </w:r>
      <w:r w:rsidR="00346CF8">
        <w:t>s</w:t>
      </w:r>
      <w:r w:rsidR="00F33A83">
        <w:t xml:space="preserve"> of default and the need for a sustainable rate of return</w:t>
      </w:r>
      <w:r w:rsidR="00346CF8">
        <w:t>, within a framework of prudential regulation</w:t>
      </w:r>
      <w:r w:rsidR="00F33A83">
        <w:t xml:space="preserve">. On a structural level, the decision to allow TPF into ISDS functions </w:t>
      </w:r>
      <w:r w:rsidR="00BF1ACE">
        <w:t>along the same lines, facilitating</w:t>
      </w:r>
      <w:r w:rsidR="00F33A83">
        <w:t xml:space="preserve"> the exploitation of the </w:t>
      </w:r>
      <w:r w:rsidR="00BF1ACE">
        <w:t xml:space="preserve">tax-paying </w:t>
      </w:r>
      <w:r w:rsidR="00F33A83">
        <w:t>public for the be</w:t>
      </w:r>
      <w:r w:rsidR="00BF1ACE">
        <w:t xml:space="preserve">nefit of speculative investment. </w:t>
      </w:r>
    </w:p>
    <w:p w14:paraId="149C13FB" w14:textId="77777777" w:rsidR="00FD4288" w:rsidRDefault="00FD4288" w:rsidP="00224100"/>
    <w:p w14:paraId="5D0E2BDC" w14:textId="0C4F22F5" w:rsidR="00FF706C" w:rsidRDefault="00FD4288" w:rsidP="00224100">
      <w:r>
        <w:tab/>
        <w:t xml:space="preserve">For these reasons, I would recommend that TPF be barred from all ISDS cases until the system is fundamentally reformed both substantively and procedurally. </w:t>
      </w:r>
      <w:r w:rsidR="004D29B9">
        <w:t xml:space="preserve">At a minimum, </w:t>
      </w:r>
      <w:r w:rsidR="004E409A">
        <w:t xml:space="preserve">ordering </w:t>
      </w:r>
      <w:r w:rsidR="004D29B9">
        <w:t xml:space="preserve">mandatory security for costs when a claimant is TPF funded, as </w:t>
      </w:r>
      <w:r w:rsidR="00BA196E">
        <w:t xml:space="preserve">Dr. </w:t>
      </w:r>
      <w:r w:rsidR="004D29B9">
        <w:t>Gavan Griffith</w:t>
      </w:r>
      <w:r w:rsidR="00BA196E">
        <w:t>, Q.C.</w:t>
      </w:r>
      <w:r w:rsidR="004D29B9">
        <w:t xml:space="preserve"> has advocated</w:t>
      </w:r>
      <w:r w:rsidR="00FF706C">
        <w:t xml:space="preserve"> in </w:t>
      </w:r>
      <w:r w:rsidR="00FF706C" w:rsidRPr="00FF706C">
        <w:rPr>
          <w:i/>
        </w:rPr>
        <w:t>RSM v. St. Lucia</w:t>
      </w:r>
      <w:r w:rsidR="004D29B9">
        <w:t xml:space="preserve">, would go some way towards addressing this imbalance. </w:t>
      </w:r>
      <w:r>
        <w:t xml:space="preserve">Simple disclosure is not, in my view, an adequate remedy when the structural defects of the system are so basic and so prone to exploitation. </w:t>
      </w:r>
      <w:r w:rsidR="00FF706C">
        <w:t xml:space="preserve">Allowing TPF to operate </w:t>
      </w:r>
      <w:r w:rsidR="00D5195B">
        <w:t xml:space="preserve">unchecked </w:t>
      </w:r>
      <w:r w:rsidR="00FF706C">
        <w:t>within ISDS reduces an institution designed to address injustice (albeit imperfectly) and maintain order</w:t>
      </w:r>
      <w:r w:rsidR="00B70D2C">
        <w:t>,</w:t>
      </w:r>
      <w:r w:rsidR="00FF706C">
        <w:t xml:space="preserve"> into a mere speculative investment opportunity, which is precisely what traditional prohibitions on maintenance and champerty were designed to prevent.</w:t>
      </w:r>
      <w:r>
        <w:t xml:space="preserve"> Certainly it is a step in the right directi</w:t>
      </w:r>
      <w:r w:rsidR="00FF706C">
        <w:t>on to know who is exploiting Arcuri’s</w:t>
      </w:r>
      <w:r>
        <w:t xml:space="preserve"> Great Asymmetry and </w:t>
      </w:r>
      <w:r w:rsidR="006954B9">
        <w:t>for whose benefit, but in light of the fundamental inequities described above</w:t>
      </w:r>
      <w:r w:rsidR="00B70D2C">
        <w:t>,</w:t>
      </w:r>
      <w:r w:rsidR="006954B9">
        <w:t xml:space="preserve"> it cannot be consi</w:t>
      </w:r>
      <w:r w:rsidR="00B70D2C">
        <w:t>dered an adequate response</w:t>
      </w:r>
      <w:r w:rsidR="006954B9">
        <w:t xml:space="preserve">.  </w:t>
      </w:r>
    </w:p>
    <w:p w14:paraId="65939967" w14:textId="77777777" w:rsidR="00FF706C" w:rsidRDefault="00FF706C" w:rsidP="00224100"/>
    <w:p w14:paraId="0EBA0A17" w14:textId="77777777" w:rsidR="00B70D2C" w:rsidRDefault="00FF706C" w:rsidP="00224100">
      <w:r>
        <w:tab/>
      </w:r>
      <w:r w:rsidR="00DB2ECD">
        <w:t>Although</w:t>
      </w:r>
      <w:r w:rsidR="006954B9">
        <w:t xml:space="preserve"> </w:t>
      </w:r>
      <w:r w:rsidR="005C02B0">
        <w:t>C</w:t>
      </w:r>
      <w:r w:rsidR="00DB2ECD">
        <w:t>hapter Eight implies</w:t>
      </w:r>
      <w:r w:rsidR="005C02B0">
        <w:t xml:space="preserve"> that within the Task Force there would not be majority support for </w:t>
      </w:r>
      <w:r w:rsidR="00DB2ECD">
        <w:t xml:space="preserve">recommending </w:t>
      </w:r>
      <w:r w:rsidR="005C02B0">
        <w:t xml:space="preserve">such a ban, </w:t>
      </w:r>
      <w:r w:rsidR="00DB2ECD">
        <w:t xml:space="preserve">or even mentioning it, </w:t>
      </w:r>
      <w:r w:rsidR="00BF1ACE">
        <w:t xml:space="preserve">the </w:t>
      </w:r>
      <w:r w:rsidR="005C02B0">
        <w:t xml:space="preserve">failure to more forthrightly address this issue represents a lost opportunity.  </w:t>
      </w:r>
      <w:r w:rsidR="00DB2ECD">
        <w:t>B</w:t>
      </w:r>
      <w:r w:rsidR="00BF1ACE">
        <w:t xml:space="preserve">y taking up an issue with such financial momentum and potential risk without making any </w:t>
      </w:r>
      <w:r w:rsidR="00DB2ECD">
        <w:t xml:space="preserve">concrete recommendations or </w:t>
      </w:r>
      <w:r w:rsidR="00BF1ACE">
        <w:t xml:space="preserve">even </w:t>
      </w:r>
      <w:r w:rsidR="00DB2ECD">
        <w:t xml:space="preserve">directly </w:t>
      </w:r>
      <w:r w:rsidR="00BF1ACE">
        <w:t>address</w:t>
      </w:r>
      <w:r w:rsidR="00DB2ECD">
        <w:t>ing</w:t>
      </w:r>
      <w:r w:rsidR="00BF1ACE">
        <w:t xml:space="preserve"> this dynamic, Chapter Eig</w:t>
      </w:r>
      <w:r w:rsidR="00B70D2C">
        <w:t xml:space="preserve">ht </w:t>
      </w:r>
      <w:r w:rsidR="00BF1ACE">
        <w:t xml:space="preserve">as written risks being read as complicit in this and against the public good. </w:t>
      </w:r>
      <w:r w:rsidR="00DB2ECD">
        <w:t>TPF in ISDS does not exist in isol</w:t>
      </w:r>
      <w:r w:rsidR="00B70D2C">
        <w:t xml:space="preserve">ation from the Great Asymmetry, </w:t>
      </w:r>
      <w:r w:rsidR="00DB2ECD">
        <w:t>indeed, it appears designed to exploit the Great Asymmetry for speculati</w:t>
      </w:r>
      <w:r w:rsidR="00B70D2C">
        <w:t>ve gain</w:t>
      </w:r>
      <w:r w:rsidR="00DB2ECD">
        <w:t xml:space="preserve">, and the public’s best interests are not served by drafting a report that reads as if it did. </w:t>
      </w:r>
    </w:p>
    <w:p w14:paraId="3404D32C" w14:textId="77777777" w:rsidR="00B70D2C" w:rsidRDefault="00B70D2C" w:rsidP="00224100"/>
    <w:p w14:paraId="42B74539" w14:textId="6E53AECB" w:rsidR="00FD4288" w:rsidRDefault="00B70D2C" w:rsidP="00224100">
      <w:r>
        <w:tab/>
      </w:r>
      <w:r w:rsidR="005C02B0">
        <w:t xml:space="preserve">Even </w:t>
      </w:r>
      <w:r w:rsidR="006954B9">
        <w:t xml:space="preserve">a more frank </w:t>
      </w:r>
      <w:r w:rsidR="00D5195B">
        <w:t>discussion of the interaction between</w:t>
      </w:r>
      <w:r w:rsidR="006954B9">
        <w:t xml:space="preserve"> the structural characteristics of the contemporary BIT system and TPF as a funding mechanism would go a long way towards bolstering the legitimacy and credibility of </w:t>
      </w:r>
      <w:r w:rsidR="00B2335C">
        <w:t xml:space="preserve">this part of </w:t>
      </w:r>
      <w:r w:rsidR="006954B9">
        <w:t>the Draft Report</w:t>
      </w:r>
      <w:r w:rsidR="00A81289">
        <w:t xml:space="preserve">, and indeed </w:t>
      </w:r>
      <w:r>
        <w:t xml:space="preserve">would </w:t>
      </w:r>
      <w:r w:rsidR="00A81289">
        <w:t>embody the commitment to disclosure that the Task Force recommends</w:t>
      </w:r>
      <w:r w:rsidR="00B064FF">
        <w:t xml:space="preserve">. </w:t>
      </w:r>
      <w:r w:rsidR="002C139C">
        <w:t>E</w:t>
      </w:r>
      <w:r w:rsidR="00BF1ACE">
        <w:t>ven mentioning the syst</w:t>
      </w:r>
      <w:r w:rsidR="00DB2ECD">
        <w:t>emic risks and the option of a ban</w:t>
      </w:r>
      <w:r w:rsidR="00176FC4">
        <w:t xml:space="preserve">—even if balanced by competing recommendations—for </w:t>
      </w:r>
      <w:r w:rsidR="00DB2ECD">
        <w:t>the public’s consideration</w:t>
      </w:r>
      <w:r w:rsidR="00176FC4">
        <w:t>,</w:t>
      </w:r>
      <w:r w:rsidR="00DB2ECD">
        <w:t xml:space="preserve"> </w:t>
      </w:r>
      <w:r w:rsidR="00A81289">
        <w:t>would allow the</w:t>
      </w:r>
      <w:r w:rsidR="00937A88">
        <w:t xml:space="preserve"> Task Force </w:t>
      </w:r>
      <w:r w:rsidR="00A81289">
        <w:t xml:space="preserve">to </w:t>
      </w:r>
      <w:r w:rsidR="00176FC4">
        <w:t xml:space="preserve">more effectively </w:t>
      </w:r>
      <w:r w:rsidR="00B064FF">
        <w:t>achieve its stated goal of contributing to</w:t>
      </w:r>
      <w:r w:rsidR="00A81289">
        <w:t xml:space="preserve"> this larger public debate, </w:t>
      </w:r>
      <w:r w:rsidR="00B064FF">
        <w:t>and help build</w:t>
      </w:r>
      <w:r w:rsidR="00A81289">
        <w:t xml:space="preserve"> the more robust and sustainable international investment regime that we all nee</w:t>
      </w:r>
      <w:r w:rsidR="005D5259">
        <w:t>d</w:t>
      </w:r>
      <w:r w:rsidR="00A81289">
        <w:t xml:space="preserve">. </w:t>
      </w:r>
    </w:p>
    <w:sectPr w:rsidR="00FD4288" w:rsidSect="00010A22">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387BA" w14:textId="77777777" w:rsidR="00FD1DC8" w:rsidRDefault="00FD1DC8" w:rsidP="00D46E26">
      <w:r>
        <w:separator/>
      </w:r>
    </w:p>
  </w:endnote>
  <w:endnote w:type="continuationSeparator" w:id="0">
    <w:p w14:paraId="5C3F51E8" w14:textId="77777777" w:rsidR="00FD1DC8" w:rsidRDefault="00FD1DC8" w:rsidP="00D4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D3A2A" w14:textId="77777777" w:rsidR="00176CFE" w:rsidRDefault="00176CFE" w:rsidP="00FD42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9B2311" w14:textId="77777777" w:rsidR="00176CFE" w:rsidRDefault="00176C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BCB8E" w14:textId="77777777" w:rsidR="00176CFE" w:rsidRDefault="00176CFE" w:rsidP="00FD42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1DC8">
      <w:rPr>
        <w:rStyle w:val="PageNumber"/>
        <w:noProof/>
      </w:rPr>
      <w:t>1</w:t>
    </w:r>
    <w:r>
      <w:rPr>
        <w:rStyle w:val="PageNumber"/>
      </w:rPr>
      <w:fldChar w:fldCharType="end"/>
    </w:r>
  </w:p>
  <w:p w14:paraId="0397307D" w14:textId="77777777" w:rsidR="00176CFE" w:rsidRDefault="00176C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9DE69" w14:textId="77777777" w:rsidR="00FD1DC8" w:rsidRDefault="00FD1DC8" w:rsidP="00D46E26">
      <w:r>
        <w:separator/>
      </w:r>
    </w:p>
  </w:footnote>
  <w:footnote w:type="continuationSeparator" w:id="0">
    <w:p w14:paraId="78714591" w14:textId="77777777" w:rsidR="00FD1DC8" w:rsidRDefault="00FD1DC8" w:rsidP="00D46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00"/>
    <w:rsid w:val="0000357E"/>
    <w:rsid w:val="000072DF"/>
    <w:rsid w:val="00010A22"/>
    <w:rsid w:val="001208BF"/>
    <w:rsid w:val="00176CFE"/>
    <w:rsid w:val="00176FC4"/>
    <w:rsid w:val="001958F3"/>
    <w:rsid w:val="00224100"/>
    <w:rsid w:val="0024246A"/>
    <w:rsid w:val="002C139C"/>
    <w:rsid w:val="00346CF8"/>
    <w:rsid w:val="00373C36"/>
    <w:rsid w:val="00383998"/>
    <w:rsid w:val="003F616C"/>
    <w:rsid w:val="004D29B9"/>
    <w:rsid w:val="004E409A"/>
    <w:rsid w:val="005151A9"/>
    <w:rsid w:val="00533FF9"/>
    <w:rsid w:val="00594C98"/>
    <w:rsid w:val="005C02B0"/>
    <w:rsid w:val="005D5259"/>
    <w:rsid w:val="006266A8"/>
    <w:rsid w:val="00634F93"/>
    <w:rsid w:val="006954B9"/>
    <w:rsid w:val="0078343E"/>
    <w:rsid w:val="007D28D2"/>
    <w:rsid w:val="0080117A"/>
    <w:rsid w:val="008C7940"/>
    <w:rsid w:val="008F741A"/>
    <w:rsid w:val="00935499"/>
    <w:rsid w:val="00937A88"/>
    <w:rsid w:val="00940826"/>
    <w:rsid w:val="009A1F3E"/>
    <w:rsid w:val="00A51C67"/>
    <w:rsid w:val="00A54957"/>
    <w:rsid w:val="00A81289"/>
    <w:rsid w:val="00B064FF"/>
    <w:rsid w:val="00B22939"/>
    <w:rsid w:val="00B2335C"/>
    <w:rsid w:val="00B23F34"/>
    <w:rsid w:val="00B70D2C"/>
    <w:rsid w:val="00BA196E"/>
    <w:rsid w:val="00BF1ACE"/>
    <w:rsid w:val="00BF7D62"/>
    <w:rsid w:val="00C93EB7"/>
    <w:rsid w:val="00D11984"/>
    <w:rsid w:val="00D14698"/>
    <w:rsid w:val="00D46E26"/>
    <w:rsid w:val="00D5195B"/>
    <w:rsid w:val="00D80989"/>
    <w:rsid w:val="00DB2ECD"/>
    <w:rsid w:val="00DD2E61"/>
    <w:rsid w:val="00E16B70"/>
    <w:rsid w:val="00E9723E"/>
    <w:rsid w:val="00F33A83"/>
    <w:rsid w:val="00F86EEC"/>
    <w:rsid w:val="00FB6A16"/>
    <w:rsid w:val="00FC75A9"/>
    <w:rsid w:val="00FD1DC8"/>
    <w:rsid w:val="00FD4288"/>
    <w:rsid w:val="00FF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6175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46E26"/>
  </w:style>
  <w:style w:type="character" w:customStyle="1" w:styleId="FootnoteTextChar">
    <w:name w:val="Footnote Text Char"/>
    <w:basedOn w:val="DefaultParagraphFont"/>
    <w:link w:val="FootnoteText"/>
    <w:uiPriority w:val="99"/>
    <w:rsid w:val="00D46E26"/>
  </w:style>
  <w:style w:type="character" w:styleId="FootnoteReference">
    <w:name w:val="footnote reference"/>
    <w:basedOn w:val="DefaultParagraphFont"/>
    <w:uiPriority w:val="99"/>
    <w:unhideWhenUsed/>
    <w:rsid w:val="00D46E26"/>
    <w:rPr>
      <w:vertAlign w:val="superscript"/>
    </w:rPr>
  </w:style>
  <w:style w:type="paragraph" w:styleId="Footer">
    <w:name w:val="footer"/>
    <w:basedOn w:val="Normal"/>
    <w:link w:val="FooterChar"/>
    <w:uiPriority w:val="99"/>
    <w:unhideWhenUsed/>
    <w:rsid w:val="00D46E26"/>
    <w:pPr>
      <w:tabs>
        <w:tab w:val="center" w:pos="4320"/>
        <w:tab w:val="right" w:pos="8640"/>
      </w:tabs>
    </w:pPr>
  </w:style>
  <w:style w:type="character" w:customStyle="1" w:styleId="FooterChar">
    <w:name w:val="Footer Char"/>
    <w:basedOn w:val="DefaultParagraphFont"/>
    <w:link w:val="Footer"/>
    <w:uiPriority w:val="99"/>
    <w:rsid w:val="00D46E26"/>
  </w:style>
  <w:style w:type="character" w:styleId="PageNumber">
    <w:name w:val="page number"/>
    <w:basedOn w:val="DefaultParagraphFont"/>
    <w:uiPriority w:val="99"/>
    <w:semiHidden/>
    <w:unhideWhenUsed/>
    <w:rsid w:val="00D46E26"/>
  </w:style>
  <w:style w:type="paragraph" w:styleId="BalloonText">
    <w:name w:val="Balloon Text"/>
    <w:basedOn w:val="Normal"/>
    <w:link w:val="BalloonTextChar"/>
    <w:uiPriority w:val="99"/>
    <w:semiHidden/>
    <w:unhideWhenUsed/>
    <w:rsid w:val="00935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4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1449</Words>
  <Characters>8265</Characters>
  <Application>Microsoft Macintosh Word</Application>
  <DocSecurity>0</DocSecurity>
  <Lines>68</Lines>
  <Paragraphs>19</Paragraphs>
  <ScaleCrop>false</ScaleCrop>
  <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Garcia</dc:creator>
  <cp:keywords/>
  <dc:description/>
  <cp:lastModifiedBy>Microsoft Office User</cp:lastModifiedBy>
  <cp:revision>2</cp:revision>
  <cp:lastPrinted>2017-10-31T14:57:00Z</cp:lastPrinted>
  <dcterms:created xsi:type="dcterms:W3CDTF">2017-11-04T10:21:00Z</dcterms:created>
  <dcterms:modified xsi:type="dcterms:W3CDTF">2017-11-04T10:21:00Z</dcterms:modified>
</cp:coreProperties>
</file>